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123" w:rsidRDefault="00EE7123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ДОКЛАД</w:t>
      </w:r>
    </w:p>
    <w:p w:rsidR="00EE7123" w:rsidRDefault="00EE7123">
      <w:pP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Мэра Великого Новгорода Бусурина С.В.</w:t>
      </w:r>
    </w:p>
    <w:p w:rsidR="00EE7123" w:rsidRDefault="00EE7123">
      <w:pP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 результатах своей деятельности и деятельности</w:t>
      </w:r>
    </w:p>
    <w:p w:rsidR="00EE7123" w:rsidRDefault="00EE7123">
      <w:pP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Администрации Великого Новгорода</w:t>
      </w:r>
    </w:p>
    <w:p w:rsidR="00EE7123" w:rsidRDefault="00EE7123">
      <w:pP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 2019 году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Уважаемые депутаты, уважаемые присутствующие! 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Работа Администрации Великого Новгорода в 2019 году осуществлялась в соответствии со 131 Федеральным законом.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Полный отчет о результатах  деятельности Мэра и Администрации в соответствии с утвержденным порядком был направлен в установленные сроки в Думу Великого Новгорода.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  <w:highlight w:val="white"/>
        </w:rPr>
        <w:t xml:space="preserve">Начиная свой доклад, хочу отметить, что большинство задач, стоявших перед нами, решены.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Важнейшим событием в развитии города в 2019 году стала реализация национальных проектов. Благоустройство, дороги, расселение жилья, спорт, культура, образование - это как раз те направления национальных проектов, где вопросы решаются именно на уровне муниципалитета.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На реализацию национальных проектов в истекшем году город получил существенную финансовую поддержку из различных источников. Общая сумма средств составила более 964 млн. рублей. В течение 4 лет город направит на реализацию нацпроектов 2,3 млрд. рублей.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  <w:highlight w:val="white"/>
        </w:rPr>
        <w:t>Президентом Российской Федерации ежегодно в своем послании ставится задача по улучшению демографической ситуации. Отмечу, что на демографические процессы влияет большое количество факторов и только комплексный подход позволит изменить ситуацию.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В 2019 году мы традиционно  продолжали оказывать меры социальной поддержки семьям с детьми.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 счет средств бюджета Великого Новгорода 860 семей получили единовременное пособие при рождении первого ребенка. Пособие в размере 1 млн. рублей при одновременном рождении трех и более детей получили 2 семьи.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Двум семьям при одновременном рождении 2-х детей оказана поддержка на улучшение жилищных условий.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Отмечу, что в течение 9 лет, то есть с того момента, когда мы начали оказывать данную меру поддержки, 47 многодетных семей смогли улучшить свое жилье. На эти цели направлено более 65,0 млн. рублей.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За счет средств городского, областного и федерального бюджетов на общую сумму 19,4 млн. рублей предоставлены социальные выплаты на приобретение жилых помещений или строительство индивидуального жилья 19 молодым семьям.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Меры поддержки семей по предоставлению социальных выплат сохранены и в текущем году. 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Благодаря эффективной и качественной работе при проведении закупок по приобретению жилых помещений </w:t>
      </w:r>
      <w:r>
        <w:rPr>
          <w:color w:val="000000"/>
          <w:sz w:val="28"/>
          <w:highlight w:val="white"/>
        </w:rPr>
        <w:t xml:space="preserve">для детей-сирот </w:t>
      </w:r>
      <w:r>
        <w:rPr>
          <w:color w:val="000000"/>
          <w:sz w:val="28"/>
        </w:rPr>
        <w:t xml:space="preserve">в 2019 году удалось приобрести больше жилых помещений, чем планировали. Так за счет предоставленной субвенции в размере 50,6 млн. рублей, было приобретено 43 жилых помещения, при плановом показателе в 39. 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Одна из форм помощи семьям – организация отдыха детей. Особенно это важно для детей, находящихся в трудной жизненной ситуации. </w:t>
      </w:r>
    </w:p>
    <w:p w:rsidR="00EE7123" w:rsidRDefault="00EE7123">
      <w:pPr>
        <w:spacing w:line="360" w:lineRule="auto"/>
        <w:ind w:firstLine="720"/>
        <w:jc w:val="both"/>
      </w:pPr>
      <w:r>
        <w:rPr>
          <w:color w:val="000000"/>
          <w:sz w:val="28"/>
          <w:szCs w:val="28"/>
        </w:rPr>
        <w:t xml:space="preserve">В 2019 году через различные формы каникулярного отдыха оздоровлено более 20  тыс. детей или 76 % от общего количества детей школьного возраста. </w:t>
      </w:r>
    </w:p>
    <w:p w:rsidR="00EE7123" w:rsidRDefault="00EE7123">
      <w:pPr>
        <w:spacing w:line="360" w:lineRule="auto"/>
        <w:ind w:firstLine="720"/>
        <w:jc w:val="both"/>
      </w:pPr>
      <w:r>
        <w:rPr>
          <w:color w:val="000000"/>
          <w:sz w:val="28"/>
          <w:szCs w:val="28"/>
        </w:rPr>
        <w:t xml:space="preserve">В этом году открытие первой профильной смены в Центре «Зарница» совпало с торжественной церемонией открытия нового здания столовой учреждения на 100 мест. Стоимость объекта составила 22,5 млн. рублей. </w:t>
      </w:r>
    </w:p>
    <w:p w:rsidR="00EE7123" w:rsidRDefault="00EE7123">
      <w:pPr>
        <w:spacing w:after="12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Несмотря на то, что в Великом Новгороде обеспечена 100,0 % доступность дошкольного образования для детей от 3 до 7 лет, существует  необходимость обеспечения детей от 2 месяцев до 1,5 лет местами в детских садах в «шаговой доступности». Именно поэтому город участвует в реализации федерального проекта «Содействие занятости женщин – создание условий дошкольного образования для детей в возрасте до 3 лет» национального проекта «Демография».</w:t>
      </w:r>
    </w:p>
    <w:p w:rsidR="00EE7123" w:rsidRDefault="00EE7123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Строительство трех детских садов на 190 мест каждый должно было завершиться в 2019 году. По состоянию на 31 декабря 2019 года строительная готовность объектов составляла в Псковском жилом районе – 25%, в Северном жилом районе – 42%, в жилом районе «Ивушки» – 47%.</w:t>
      </w:r>
    </w:p>
    <w:p w:rsidR="00EE7123" w:rsidRPr="008C2B04" w:rsidRDefault="00EE7123">
      <w:pPr>
        <w:spacing w:line="360" w:lineRule="auto"/>
        <w:ind w:firstLine="567"/>
        <w:jc w:val="both"/>
        <w:rPr>
          <w:color w:val="000000"/>
          <w:sz w:val="28"/>
          <w:szCs w:val="28"/>
        </w:rPr>
      </w:pPr>
      <w:r w:rsidRPr="008C2B04">
        <w:rPr>
          <w:color w:val="000000"/>
          <w:sz w:val="28"/>
          <w:szCs w:val="28"/>
          <w:highlight w:val="white"/>
        </w:rPr>
        <w:t xml:space="preserve">После расторжения в одностороннем порядке контракта по строительству детского сада на ул. Речной новый муниципальный контракт на продолжение строительства был заключен 16 декабря истекшего года с ООО «Спецстрой». </w:t>
      </w:r>
    </w:p>
    <w:p w:rsidR="00EE7123" w:rsidRPr="008C2B04" w:rsidRDefault="00EE7123">
      <w:pPr>
        <w:spacing w:line="360" w:lineRule="auto"/>
        <w:ind w:firstLine="567"/>
        <w:jc w:val="both"/>
      </w:pPr>
      <w:r w:rsidRPr="008C2B04">
        <w:rPr>
          <w:color w:val="000000"/>
          <w:sz w:val="28"/>
          <w:szCs w:val="28"/>
        </w:rPr>
        <w:t xml:space="preserve">Для полного освоения средств субсидии на строительство детских садов была произведена смена заказчиков. Ввод объектов в эксплуатацию будет осуществлен в 2020 году. </w:t>
      </w:r>
    </w:p>
    <w:p w:rsidR="00EE7123" w:rsidRPr="008C2B04" w:rsidRDefault="00EE7123">
      <w:pPr>
        <w:spacing w:after="120" w:line="360" w:lineRule="auto"/>
        <w:ind w:firstLine="720"/>
        <w:jc w:val="both"/>
      </w:pPr>
      <w:r w:rsidRPr="008C2B04">
        <w:rPr>
          <w:color w:val="000000"/>
          <w:sz w:val="28"/>
          <w:szCs w:val="28"/>
        </w:rPr>
        <w:t>В настоящее время ведется подготовка строительства в 2020-2021 годах еще двух детских садов по 140 мест для детей в возрасте от 1,5 до 3 лет в жилых районах «Ивушки» и «Северный». Выполнено межевание земельных участков и постановка их на кадастровый учет. Будет проведена привязка типового проекта к местности и начнется строительство.</w:t>
      </w:r>
    </w:p>
    <w:p w:rsidR="00EE7123" w:rsidRDefault="00EE7123">
      <w:pPr>
        <w:spacing w:line="360" w:lineRule="auto"/>
        <w:ind w:firstLine="708"/>
        <w:jc w:val="both"/>
      </w:pPr>
      <w:r>
        <w:rPr>
          <w:color w:val="000000"/>
          <w:sz w:val="28"/>
          <w:szCs w:val="28"/>
        </w:rPr>
        <w:t>Важный показатель - «увеличение доли граждан, систематически занимающихся физической культурой и спортом». Количество присвоенных знаков участникам тестирования ГТО  в сравнении с 2018 годом увеличилось на 35 %, количество золотых знаков - на 30% и серебряных - на 47 %.</w:t>
      </w:r>
    </w:p>
    <w:p w:rsidR="00EE7123" w:rsidRDefault="00EE7123">
      <w:pPr>
        <w:spacing w:line="360" w:lineRule="auto"/>
        <w:ind w:firstLine="708"/>
        <w:jc w:val="both"/>
      </w:pPr>
      <w:r>
        <w:rPr>
          <w:color w:val="000000"/>
          <w:sz w:val="28"/>
          <w:szCs w:val="28"/>
        </w:rPr>
        <w:t>Численность граждан, систематически занимающихся спортом, в 2019 году составила 42,5 % от общего количества населения</w:t>
      </w:r>
      <w:r>
        <w:rPr>
          <w:bCs/>
          <w:color w:val="000000"/>
          <w:kern w:val="2"/>
          <w:sz w:val="28"/>
          <w:szCs w:val="28"/>
        </w:rPr>
        <w:t xml:space="preserve"> и увеличилась по отношению к 2018 году на 7,2 %, </w:t>
      </w:r>
      <w:r>
        <w:rPr>
          <w:sz w:val="28"/>
          <w:szCs w:val="28"/>
        </w:rPr>
        <w:t>что соответствует установленным контрольным показателям.</w:t>
      </w:r>
    </w:p>
    <w:p w:rsidR="00EE7123" w:rsidRDefault="00EE7123">
      <w:pPr>
        <w:spacing w:line="360" w:lineRule="auto"/>
        <w:ind w:firstLine="708"/>
        <w:jc w:val="both"/>
      </w:pPr>
      <w:r>
        <w:rPr>
          <w:color w:val="000000"/>
          <w:sz w:val="28"/>
          <w:szCs w:val="28"/>
        </w:rPr>
        <w:t xml:space="preserve">В 2019 году разработана проектно-сметная документация на строительство "Физкультурно-спортивного комплекса" по ул. Вересова в Северном жилом районе города. Стоимость проекта – 132 млн. рублей. Начало строительства комплекса запланировано на текущий год. Ввод в строй этого объекта позволит жителям района еще активнее заниматься любимыми игровыми видами спорта  и увеличить долю систематически занимающихся физической культурой и спортом к 2024 году до уровня </w:t>
      </w:r>
      <w:r>
        <w:rPr>
          <w:sz w:val="28"/>
          <w:szCs w:val="28"/>
        </w:rPr>
        <w:t>– 56,8 %</w:t>
      </w:r>
      <w:r>
        <w:rPr>
          <w:color w:val="000000"/>
          <w:sz w:val="28"/>
          <w:szCs w:val="28"/>
        </w:rPr>
        <w:t xml:space="preserve"> .</w:t>
      </w:r>
    </w:p>
    <w:p w:rsidR="00EE7123" w:rsidRDefault="00EE7123">
      <w:pPr>
        <w:spacing w:line="360" w:lineRule="auto"/>
        <w:ind w:firstLine="720"/>
        <w:jc w:val="both"/>
        <w:rPr>
          <w:color w:val="000000"/>
          <w:sz w:val="28"/>
          <w:szCs w:val="28"/>
          <w:highlight w:val="yellow"/>
        </w:rPr>
      </w:pPr>
      <w:r>
        <w:rPr>
          <w:color w:val="000000"/>
          <w:sz w:val="28"/>
          <w:szCs w:val="28"/>
          <w:highlight w:val="white"/>
        </w:rPr>
        <w:t xml:space="preserve">Модернизацию инфраструктуры мы проводили в 2019 году и в сфере образования, через реализацию мероприятий национального проекта «Образование». 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федерального проекта «Современная школа» на проведение 1 этапа капитального ремонта Гимназии «Исток» было выделено 32 млн.  рублей. На сегодняшний день освоено более 18 млн.  рублей. Работы будут продолжены и в 2020 году.</w:t>
      </w:r>
    </w:p>
    <w:p w:rsidR="00EE7123" w:rsidRPr="008C2B04" w:rsidRDefault="00EE7123">
      <w:pPr>
        <w:spacing w:line="360" w:lineRule="auto"/>
        <w:ind w:firstLine="709"/>
        <w:jc w:val="both"/>
      </w:pPr>
      <w:r w:rsidRPr="008C2B04">
        <w:rPr>
          <w:color w:val="000000"/>
          <w:sz w:val="28"/>
          <w:szCs w:val="28"/>
        </w:rPr>
        <w:t>Выполнен ремонт кровли, ливневки и хозяйственно-бытовой канализации в техподполье, проведено усиление конструкций подвальных помещений, дренаж, устройство отмостки.</w:t>
      </w:r>
    </w:p>
    <w:p w:rsidR="00EE7123" w:rsidRDefault="00EE7123">
      <w:pPr>
        <w:spacing w:line="360" w:lineRule="auto"/>
        <w:ind w:firstLine="708"/>
        <w:jc w:val="both"/>
        <w:rPr>
          <w:bCs/>
          <w:color w:val="000000"/>
          <w:kern w:val="2"/>
          <w:sz w:val="28"/>
          <w:szCs w:val="28"/>
        </w:rPr>
      </w:pPr>
      <w:r>
        <w:rPr>
          <w:bCs/>
          <w:color w:val="000000"/>
          <w:kern w:val="2"/>
          <w:sz w:val="28"/>
          <w:szCs w:val="28"/>
        </w:rPr>
        <w:t>В 2019 году из бюджета Новгородской области бюджету Великого Новгорода были выделены средства в общей сумме 15,5 млн. рублей на проведение ремонтных работ зданий муниципальных образовательных организаций - детского сада №58 "Капелька" и Гимназии «Новоскул».</w:t>
      </w:r>
    </w:p>
    <w:p w:rsidR="00EE7123" w:rsidRDefault="00EE7123">
      <w:pPr>
        <w:spacing w:line="360" w:lineRule="auto"/>
        <w:ind w:firstLine="708"/>
        <w:jc w:val="both"/>
        <w:rPr>
          <w:bCs/>
          <w:color w:val="000000"/>
          <w:kern w:val="2"/>
          <w:sz w:val="28"/>
          <w:szCs w:val="28"/>
        </w:rPr>
      </w:pPr>
      <w:r>
        <w:rPr>
          <w:bCs/>
          <w:color w:val="000000"/>
          <w:kern w:val="2"/>
          <w:sz w:val="28"/>
          <w:szCs w:val="28"/>
        </w:rPr>
        <w:t xml:space="preserve">В детском саду «Капелька» проводились работы капитального характера в здании корпуса с бассейном. Сэкономленные от торгов средства в сумме 1,5 млн. рублей будут использованы на замену окон и ремонт кровли в здании детского сада в 2020 году. </w:t>
      </w:r>
    </w:p>
    <w:p w:rsidR="00EE7123" w:rsidRDefault="00EE7123">
      <w:pPr>
        <w:spacing w:line="360" w:lineRule="auto"/>
        <w:ind w:firstLine="708"/>
        <w:jc w:val="both"/>
        <w:rPr>
          <w:bCs/>
          <w:color w:val="000000"/>
          <w:kern w:val="2"/>
          <w:sz w:val="28"/>
          <w:szCs w:val="28"/>
        </w:rPr>
      </w:pPr>
      <w:r>
        <w:rPr>
          <w:bCs/>
          <w:color w:val="000000"/>
          <w:kern w:val="2"/>
          <w:sz w:val="28"/>
          <w:szCs w:val="28"/>
        </w:rPr>
        <w:t>В гимназии «Новоскул» проведен капитальный ремонт крыши.</w:t>
      </w:r>
    </w:p>
    <w:p w:rsidR="00EE7123" w:rsidRDefault="00EE7123">
      <w:pPr>
        <w:spacing w:line="360" w:lineRule="auto"/>
        <w:ind w:firstLine="720"/>
        <w:jc w:val="both"/>
      </w:pPr>
      <w:r>
        <w:rPr>
          <w:color w:val="000000"/>
          <w:sz w:val="28"/>
          <w:szCs w:val="28"/>
        </w:rPr>
        <w:t>Также в целях повышения доступности и качества общего образования и создания современных условий для обеспечения возможности организации всех видов учебной деятельности в одну смену</w:t>
      </w:r>
      <w:r>
        <w:rPr>
          <w:color w:val="000000"/>
          <w:sz w:val="28"/>
          <w:szCs w:val="28"/>
          <w:highlight w:val="white"/>
        </w:rPr>
        <w:t xml:space="preserve"> из реестра эффективных экономических проектов выбрано два проекта – для строительства</w:t>
      </w:r>
      <w:r>
        <w:rPr>
          <w:color w:val="000000"/>
          <w:sz w:val="28"/>
          <w:szCs w:val="28"/>
        </w:rPr>
        <w:t xml:space="preserve"> школы на 1875 мест в Деревяницком жилом районе и пристройки на 408 мест к Гимназии «Исток». Планируется привязка этих проектов к местности для строительства.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образовательных учреждений в Государственной программе «Доступная среда» позволяет создавать специальные условия для детей-инвалидов. На эти цели в 2019 году детскому саду № 86 было направлено 827 тыс. рублей, в 2020 году планируется направить 1 млн.  рублей  детскому саду № 53.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реализации мероприятий национального проекта «Образование» город участвует в региональной составляющей федерального проекта «Цифровая образовательная среда». В 2019 году в Гимназии "Гармония" два класса оснащены новыми современными презентационными комплексами, компьютеризированными учебными местами для учеников и преподавателей.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2020 году участниками проекта станут еще 29 общеобразовательных учреждений Великого Новгорода. С министерством образования Новгородской области подписано соглашение на выделение субсидии в размере 66 млн.  рублей.</w:t>
      </w:r>
    </w:p>
    <w:p w:rsidR="00EE7123" w:rsidRDefault="00EE7123">
      <w:pPr>
        <w:spacing w:line="360" w:lineRule="auto"/>
        <w:ind w:firstLine="708"/>
        <w:jc w:val="both"/>
        <w:rPr>
          <w:bCs/>
          <w:color w:val="000000"/>
          <w:kern w:val="2"/>
          <w:sz w:val="28"/>
          <w:szCs w:val="28"/>
          <w:highlight w:val="yellow"/>
        </w:rPr>
      </w:pPr>
      <w:r>
        <w:rPr>
          <w:bCs/>
          <w:color w:val="000000"/>
          <w:kern w:val="2"/>
          <w:sz w:val="28"/>
          <w:szCs w:val="28"/>
          <w:highlight w:val="white"/>
        </w:rPr>
        <w:t>ПАО "Акрон" в рамках соглашения с Администрацией Великого Новгорода выделило 13,0 млн. рублей на создание современных условий для обучения химии. В 2019 году участниками проекта стали 7 общеобразовательных учреждений города.</w:t>
      </w:r>
    </w:p>
    <w:p w:rsidR="00EE7123" w:rsidRDefault="00EE7123">
      <w:pPr>
        <w:spacing w:line="360" w:lineRule="auto"/>
        <w:ind w:firstLine="720"/>
        <w:jc w:val="both"/>
      </w:pPr>
      <w:r>
        <w:rPr>
          <w:color w:val="000000"/>
          <w:sz w:val="28"/>
          <w:szCs w:val="28"/>
        </w:rPr>
        <w:t xml:space="preserve">Способствовать реализации задач, поставленных в национальном проекте «Образование», несомненно, будут молодые кадры. За три последних года в образовательные учреждения Великого Новгорода пришли на работу 248 молодых педагогов, в том числе в 2019 году – 84 педагога. 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Благодаря участию в федеральном проекте «Обеспечение качественно нового уровня развития инфраструктуры культуры» национального проекта «Культура», для детских школ искусств приобретены музыкальные инструменты, оборудование и материалы на общую сумму 13 млн.  рублей.</w:t>
      </w:r>
    </w:p>
    <w:p w:rsidR="00EE7123" w:rsidRDefault="00EE7123">
      <w:pPr>
        <w:tabs>
          <w:tab w:val="left" w:pos="3600"/>
        </w:tabs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Дополнительно в рамках национального проекта «Культура» Минпромторг России поставил (на бесплатной основе) 5 пианино отечественного производства в каждую музыкальную школу Великого Новгорода на общую сумму 1 млн. 860 тыс. рублей.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Теперь о проекте «Формирование комфортной городской среды».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Мы системно проводим мероприятия по благоустройству, создавая не просто комфортное пространство для жизни, а, прежде всего, место для коммуникации людей. И только люди могут сказать, какие работы нужно провести, какие объекты поставить, чтобы дворовые территории, парки, общественные места использовались и были интересны всем жителям, как площадки для общения, совместного культурного времяпрепровождения, семейного отдыха.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В 2019 году на 100 процентов выполнены плановые показатели по благоустройству дворовых и общественных территорий, а это 53 дворовые территории и 5 общественных пространств. Общая сумма средств, направленная на эти цели составила 120 млн. рублей, в том числе из средств городского бюджета — более 11 млн. рублей. Объемы финансирования на 2020 год позволят </w:t>
      </w:r>
      <w:r>
        <w:rPr>
          <w:color w:val="000000"/>
          <w:sz w:val="28"/>
          <w:szCs w:val="28"/>
          <w:highlight w:val="white"/>
        </w:rPr>
        <w:t>провести благоустройство и об</w:t>
      </w:r>
      <w:r>
        <w:rPr>
          <w:color w:val="000000"/>
          <w:sz w:val="28"/>
          <w:szCs w:val="28"/>
        </w:rPr>
        <w:t xml:space="preserve">еспечить выполнение показателей не ниже уровня 2019 года. 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Благодаря совместным усилиям всех ветвей власти, бизнеса  и общественных организаций установлены памятник генерал-майору Филимоненко В.А., памятный знак «Карта Земли Новгородской» и памятный знак мальчику Онфиму, на месте находки первой берестяной грамоты. </w:t>
      </w:r>
    </w:p>
    <w:p w:rsidR="00EE7123" w:rsidRDefault="00EE7123">
      <w:pPr>
        <w:spacing w:line="360" w:lineRule="auto"/>
        <w:ind w:firstLine="709"/>
        <w:jc w:val="both"/>
        <w:rPr>
          <w:color w:val="000000"/>
        </w:rPr>
      </w:pPr>
      <w:r>
        <w:rPr>
          <w:color w:val="000000"/>
          <w:sz w:val="28"/>
          <w:szCs w:val="28"/>
        </w:rPr>
        <w:t>Благоустроены территории, непосредственно прилегающие к ним. Проекты стали положительным примером эффективного сотрудничества.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проведенной Министерством строительства и жилищно-коммунального хозяйства Российской Федерации работы по подсчету индекса качества городской среды Великий Новгород за 2019 год набрал 217 балов и занял девятое место в общем рейтинге 93-х городов с численностью населения от 100 до 250 тыс. человек.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Федеральным центром в 2019 году поддержаны наши предложения по развитию туристической сферы и при его поддержке в городе появится Софийская набережная, будет проведена реконструкция набережной А. Невского и Ильина улицы. Это самые посещаемые места и новгородцами и туристами. В этих локациях будут созданы условия для работы малого бизнеса. </w:t>
      </w:r>
    </w:p>
    <w:p w:rsidR="00EE7123" w:rsidRDefault="00EE7123">
      <w:pPr>
        <w:spacing w:before="120" w:line="360" w:lineRule="auto"/>
        <w:ind w:firstLine="709"/>
        <w:jc w:val="both"/>
        <w:rPr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В истекшем году общая сумма средств, направленных на поддержание в нормативном состоянии улично-дорожной сети и ее развитие составила 747 млн. рублей. </w:t>
      </w:r>
    </w:p>
    <w:p w:rsidR="00EE7123" w:rsidRDefault="00EE7123">
      <w:pPr>
        <w:tabs>
          <w:tab w:val="left" w:pos="7200"/>
        </w:tabs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Нами перевыполнены плановые показатели по ремонту дорог. И это хороший результат реализации мероприятий национального проекта «Безопасные и качественные дороги». Отремонтировано 68 участков городских автодорог общей протяженностью почти 38 км или </w:t>
      </w:r>
      <w:r>
        <w:rPr>
          <w:color w:val="000000"/>
          <w:sz w:val="28"/>
          <w:szCs w:val="28"/>
          <w:highlight w:val="white"/>
        </w:rPr>
        <w:t>106,4 % к плановому показателю.</w:t>
      </w:r>
      <w:r>
        <w:rPr>
          <w:color w:val="000000"/>
          <w:sz w:val="28"/>
          <w:szCs w:val="28"/>
        </w:rPr>
        <w:t xml:space="preserve"> Дополнительные участки дорог были отремонтированы, благодаря экономии бюджетных средств при проведении конкурсных процедур.  </w:t>
      </w:r>
    </w:p>
    <w:p w:rsidR="00EE7123" w:rsidRDefault="00EE7123">
      <w:pPr>
        <w:tabs>
          <w:tab w:val="left" w:pos="72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проекта «Дорога к дому» отремонтировано 12 местных проездов протяженностью 3,7 км. В планах на текущий год – 15 проездов.</w:t>
      </w:r>
    </w:p>
    <w:p w:rsidR="00EE7123" w:rsidRDefault="00EE7123">
      <w:pPr>
        <w:tabs>
          <w:tab w:val="left" w:pos="720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содержания автомобильных дорог выполнен ремонт дорожного покрытия на площади порядка 15 тыс. кв. метров.</w:t>
      </w:r>
    </w:p>
    <w:p w:rsidR="00EE7123" w:rsidRDefault="00EE7123">
      <w:pPr>
        <w:spacing w:before="12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июле истекшего года заключен двухгодичный контракт на проведение капитального ремонта Колмовского моста. Стоимость работ – 312,8 млн. рублей.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Среди выполненных в 2019 году строительных работ: </w:t>
      </w:r>
    </w:p>
    <w:p w:rsidR="00EE7123" w:rsidRDefault="00EE7123">
      <w:pPr>
        <w:spacing w:line="360" w:lineRule="auto"/>
        <w:jc w:val="both"/>
      </w:pPr>
      <w:r>
        <w:rPr>
          <w:color w:val="000000"/>
          <w:sz w:val="28"/>
          <w:szCs w:val="28"/>
        </w:rPr>
        <w:t>- парковка для посетителей детской поликлиники № 2 на ул. Кочетова,</w:t>
      </w:r>
    </w:p>
    <w:p w:rsidR="00EE7123" w:rsidRDefault="00EE7123">
      <w:pPr>
        <w:spacing w:line="360" w:lineRule="auto"/>
        <w:jc w:val="both"/>
      </w:pPr>
      <w:r>
        <w:rPr>
          <w:color w:val="000000"/>
          <w:sz w:val="28"/>
          <w:szCs w:val="28"/>
        </w:rPr>
        <w:t>- тротуары общей протяженностью 205 метров,</w:t>
      </w:r>
    </w:p>
    <w:p w:rsidR="00EE7123" w:rsidRDefault="00EE7123">
      <w:pPr>
        <w:spacing w:line="360" w:lineRule="auto"/>
        <w:jc w:val="both"/>
      </w:pPr>
      <w:r>
        <w:rPr>
          <w:color w:val="000000"/>
          <w:sz w:val="28"/>
          <w:szCs w:val="28"/>
        </w:rPr>
        <w:t>- 450 метров восстановленных линий наружного освещения,</w:t>
      </w:r>
    </w:p>
    <w:p w:rsidR="00EE7123" w:rsidRDefault="00EE7123">
      <w:pPr>
        <w:spacing w:line="360" w:lineRule="auto"/>
        <w:jc w:val="both"/>
      </w:pPr>
      <w:r>
        <w:rPr>
          <w:color w:val="000000"/>
          <w:sz w:val="28"/>
          <w:szCs w:val="28"/>
        </w:rPr>
        <w:t xml:space="preserve">- светофорные объекты на </w:t>
      </w:r>
      <w:r>
        <w:rPr>
          <w:color w:val="111111"/>
          <w:sz w:val="28"/>
          <w:szCs w:val="28"/>
          <w:highlight w:val="white"/>
        </w:rPr>
        <w:t>сложных</w:t>
      </w:r>
      <w:r>
        <w:rPr>
          <w:color w:val="1111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пересечениях автомобильных дорог.</w:t>
      </w:r>
    </w:p>
    <w:p w:rsidR="00EE7123" w:rsidRDefault="00EE7123">
      <w:pPr>
        <w:spacing w:line="360" w:lineRule="auto"/>
        <w:jc w:val="both"/>
      </w:pPr>
      <w:r>
        <w:rPr>
          <w:color w:val="000000"/>
          <w:sz w:val="28"/>
          <w:szCs w:val="28"/>
        </w:rPr>
        <w:t>Проводились работы по строительству подъездных путей к земельным участкам, выделенным льготной категории граждан для индивидуального жилищного строительства в микрорайоне Кречевицы.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Уборка города осуществляется в соответствии с заключенными  контрактами с  ООО «Мехуборка»,  ООО «Чистый град», а также силами МКУ «</w:t>
      </w:r>
      <w:bookmarkStart w:id="0" w:name="__DdeLink__1178_2565931109"/>
      <w:r>
        <w:rPr>
          <w:color w:val="000000"/>
          <w:sz w:val="28"/>
          <w:szCs w:val="28"/>
        </w:rPr>
        <w:t>Городское хозяйство</w:t>
      </w:r>
      <w:bookmarkEnd w:id="0"/>
      <w:r>
        <w:rPr>
          <w:color w:val="000000"/>
          <w:sz w:val="28"/>
          <w:szCs w:val="28"/>
        </w:rPr>
        <w:t>» в рамках плана работ на 113 объектах. Доля от общей уборочной площади, закрепленная за МКУ «Городское хозяйство», в 2019 году составила 8% и в 2020 году планируется довести ее до 10%.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МУП «Новгородский водоканал» в рамках имеющихся финансовых ресурсов ведет работу по содержанию ливневой канализации. В 2019 году силами предприятия промыто и прочищено 68 км сетей, заменено 419 м. п. сетей, отремонтировано 842 колодца. За год произведен  капитальный ремонт 1,7 км сетей ливневой канализации. 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реализации мероприятий национального проекта «Безопасные и качественные дороги» муниципальным предприятием обследовано порядка 40 участков дорог, произведена замена 32 дождеприемников, 13 тяжелых люков, 18  плит перекрытий колодцев, 18  коле</w:t>
      </w:r>
      <w:r>
        <w:rPr>
          <w:color w:val="000000"/>
          <w:sz w:val="28"/>
          <w:szCs w:val="28"/>
          <w:highlight w:val="white"/>
        </w:rPr>
        <w:t>ц стеновых колодцев.</w:t>
      </w:r>
    </w:p>
    <w:p w:rsidR="00EE7123" w:rsidRPr="008C2B04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C2B04">
        <w:rPr>
          <w:color w:val="000000"/>
          <w:sz w:val="28"/>
          <w:szCs w:val="28"/>
        </w:rPr>
        <w:t>В 2020 году город ожидает предоставление финансовой поддержки из резервного фонда Правительства Российской Федерации на капитальный ремонт 14 участков сетей ливневой канализации общей стоимостью 64 млн. рублей.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В 2019 году решались вопросы, связанные с улучшением  водоснабжения Великого Новгорода. Введена в эксплуатацию насосная станция третьего подъема, в том числе резервуары чистой воды в Деревяницком жилом районе, это позволит наращивать темпы строительства жилья и</w:t>
      </w:r>
      <w:r>
        <w:rPr>
          <w:color w:val="000000"/>
          <w:sz w:val="28"/>
          <w:szCs w:val="28"/>
          <w:highlight w:val="white"/>
        </w:rPr>
        <w:t xml:space="preserve"> обеспечивать жителей города водой.</w:t>
      </w:r>
    </w:p>
    <w:p w:rsidR="00EE7123" w:rsidRPr="008C2B04" w:rsidRDefault="00EE7123">
      <w:pPr>
        <w:spacing w:line="360" w:lineRule="auto"/>
        <w:ind w:firstLine="709"/>
        <w:jc w:val="both"/>
      </w:pPr>
      <w:r w:rsidRPr="008C2B04">
        <w:rPr>
          <w:color w:val="000000"/>
          <w:sz w:val="28"/>
          <w:szCs w:val="28"/>
        </w:rPr>
        <w:t>Крайне актуальным остается вопрос качества источника водоснабжения города, которым является река Волхов. В настоящее время сброс сточных вод МУП «Новгородский водоканал» производится с Левобережных водоочистных сооружений по выпуску № 1 без очистки в залив реки Волхов - Гребной канал. В 2020-2021 годах будет произведена реконструкция системы утилизации промывных вод и обезвоживания осадка на Левобережных водоочистных сооружениях (Юрьевское шоссе, 1). Общая стоимость работ составит 289 млн. рублей.</w:t>
      </w:r>
    </w:p>
    <w:p w:rsidR="00EE7123" w:rsidRDefault="00EE7123">
      <w:pPr>
        <w:pStyle w:val="ListParagraph"/>
        <w:spacing w:before="48" w:after="48" w:line="360" w:lineRule="auto"/>
        <w:ind w:left="0" w:firstLine="709"/>
        <w:contextualSpacing/>
        <w:jc w:val="both"/>
      </w:pPr>
      <w:r>
        <w:rPr>
          <w:rFonts w:ascii="Times New Roman" w:hAnsi="Times New Roman"/>
          <w:kern w:val="2"/>
          <w:sz w:val="28"/>
          <w:szCs w:val="28"/>
        </w:rPr>
        <w:t>Говоря о теплоснабжении города, отмечу, что в рамках действующего концессионного соглашения в</w:t>
      </w:r>
      <w:r>
        <w:rPr>
          <w:rFonts w:ascii="Times New Roman" w:hAnsi="Times New Roman"/>
          <w:sz w:val="28"/>
          <w:szCs w:val="28"/>
        </w:rPr>
        <w:t xml:space="preserve"> истекшем году ООО «ТК Новгородская» проведена модернизация 6  котельных. Концессионером на эти цели направлено 499 млн. рублей. </w:t>
      </w:r>
    </w:p>
    <w:p w:rsidR="00EE7123" w:rsidRDefault="00EE7123">
      <w:pPr>
        <w:pStyle w:val="ListParagraph"/>
        <w:spacing w:before="48" w:after="48" w:line="360" w:lineRule="auto"/>
        <w:ind w:left="0"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Подготовка к отопительному сезону проходила в штатном режиме, что позволило в установленные планами сроки обеспечить 100%-ю подачу тепла в жилые дома и социальные учреждения города.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2019 году на решение вопроса исполнения судебных решений из бюджета города было направлено 40,9 млн. рублей. За счет указанных средств проведен капитальный ремонт в 25 многоквартирных домах. В 2020 году эта сумма возрастет до 70 млн. рублей.  Всего на исполнение судебных решений в период с 2008 по 2019 год  направлено более 738 млн. рублей. </w:t>
      </w:r>
    </w:p>
    <w:p w:rsidR="00EE7123" w:rsidRPr="000F5A47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Велась работа по сокращению непригодного для проживания жилищного фонда. Эти мероприятия мы проводили в рамках реализации муниципальной программы и национального проекта «Жилье и городская среда». В результате мы предоставили 14 гражданам 6 жилых помещений из освобожденного жилищного фонда,  приобрели 3 помещения для переселения 8 граждан. </w:t>
      </w:r>
      <w:r w:rsidRPr="000F5A47">
        <w:rPr>
          <w:color w:val="000000"/>
          <w:sz w:val="28"/>
          <w:szCs w:val="28"/>
        </w:rPr>
        <w:t xml:space="preserve">На эти цели направлено 4,9 млн. рублей, в том числе средства фонда содействия реформированию ЖКХ и областного бюджета – 3,7 млн. рублей, средства городского бюджета – 1,2 млн. рублей. </w:t>
      </w:r>
    </w:p>
    <w:p w:rsidR="00EE7123" w:rsidRPr="000F5A47" w:rsidRDefault="00EE7123">
      <w:pPr>
        <w:spacing w:line="360" w:lineRule="auto"/>
        <w:ind w:firstLine="709"/>
        <w:jc w:val="both"/>
      </w:pPr>
      <w:r w:rsidRPr="000F5A47">
        <w:rPr>
          <w:color w:val="000000"/>
          <w:sz w:val="28"/>
          <w:szCs w:val="28"/>
        </w:rPr>
        <w:t>На 1 января 2020 года расселению подлежит 141 жилое помещение общей площадью 5 032,8 кв. м, в которых зарегистрировано 356 граждан. На эти цели требуются средства в размере 199,0 млн. рублей.</w:t>
      </w:r>
    </w:p>
    <w:p w:rsidR="00EE7123" w:rsidRDefault="00EE712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2019 году в Великом Новгороде активно велось жилищное строительство. Продолжалась застройка Псковского и Деревяницкого жилых районов, 14 микрорайона (ул. Кочетова). Началась застройка в Северном жилом районе в соответствии с вновь утвержденной документацией по планировке в районе ул. Вересова. В данном жилом районе планируется построить более 19,0 тыс. кв. м жилья. 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  <w:highlight w:val="white"/>
        </w:rPr>
        <w:t>Отмечу основные результаты, достигнутые в 2019 году: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  <w:highlight w:val="white"/>
        </w:rPr>
        <w:t>В наиболее крупном секторе экономики города - промышленном производстве, рост по итогам года составил 104,3 %, по обороту розничной торговли - 101,9 %,  в общественном питании – 102,0 %.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  <w:highlight w:val="white"/>
        </w:rPr>
        <w:t xml:space="preserve">Показатели по уровню безработицы стабильно сохраняются  на уровне 1,0 % от численности трудоспособного населения. 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  <w:highlight w:val="white"/>
        </w:rPr>
        <w:t>Отмечается рост количества субъектов малого и среднего предпринимательства – на 17,0 % , а это дополнительно 1530 субъектов МСП.  Прирост численности занятых в данном сегменте экономики составил 13,0 %.</w:t>
      </w:r>
    </w:p>
    <w:p w:rsidR="00EE7123" w:rsidRDefault="00EE7123">
      <w:pPr>
        <w:spacing w:before="360" w:line="360" w:lineRule="auto"/>
        <w:ind w:firstLine="709"/>
        <w:jc w:val="both"/>
      </w:pPr>
      <w:r>
        <w:rPr>
          <w:sz w:val="28"/>
          <w:szCs w:val="28"/>
          <w:highlight w:val="white"/>
        </w:rPr>
        <w:t xml:space="preserve">Особо выделю такую отрасль, как радио-электронная промышленность. Рост производства в ней по итогам 2019 года составил 101,7%. Отрадно, что отрасль традиционно развитая в Великом Новгороде обладает серьезным потенциалом для реализации стратегии развития. </w:t>
      </w:r>
    </w:p>
    <w:p w:rsidR="00EE7123" w:rsidRDefault="00EE7123">
      <w:pPr>
        <w:ind w:firstLine="709"/>
        <w:jc w:val="center"/>
      </w:pP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highlight w:val="white"/>
        </w:rPr>
        <w:t xml:space="preserve">В 2019 году в городе реализовано 9 инвестиционных проектов с общим объемом инвестиций более 2,8 млрд. рублей, создано 313 новых рабочих мест. 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>Предприятия города модернизируют свои производства и продолжают реализацию своих инвестиционных программ.</w:t>
      </w:r>
    </w:p>
    <w:p w:rsidR="00EE7123" w:rsidRDefault="00EE7123">
      <w:pPr>
        <w:spacing w:line="360" w:lineRule="auto"/>
        <w:ind w:firstLine="709"/>
        <w:jc w:val="both"/>
        <w:rPr>
          <w:color w:val="FF0000"/>
          <w:sz w:val="28"/>
          <w:szCs w:val="28"/>
          <w:highlight w:val="white"/>
        </w:rPr>
      </w:pPr>
      <w:r>
        <w:rPr>
          <w:sz w:val="28"/>
          <w:szCs w:val="28"/>
        </w:rPr>
        <w:t xml:space="preserve">2019 году на площадке «Акрон» завершено строительство установки тукосмешения и технологическое перевооружение нитроаммофоски с увеличением мощности двух агрегатов до 2,5 тыс. тонн в сутки каждый. Также запущены два новых агрегата азотной кислоты мощностью 135 тыс. тонн каждый. 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ООО «Магманит» запустило производство стекловолокна. 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ООО «КАТ» запущено производство электротехнического оборудования. 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>На ул. Кочетова, д.5, кор.1 открылось новое швейное предприятие «Верста» по пошиву специальной одежды с использованием инновационных технологий для активного отдыха и занятий спортом.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>Машиностроительные предприятия города развиваются стабильно и обеспечены заказами на ближайшие годы.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В марте 2019 года в Великом Новгороде по адресу ул. Кочетова д.30 открыт еще один Бизнес –инкубатор для поддержки молодых предпринимателей на всех этапах развития. Количес</w:t>
      </w:r>
      <w:bookmarkStart w:id="1" w:name="_GoBack"/>
      <w:bookmarkEnd w:id="1"/>
      <w:r>
        <w:rPr>
          <w:sz w:val="28"/>
          <w:szCs w:val="28"/>
        </w:rPr>
        <w:t>тво его резидентов  насчитывает 5 юридических лиц.</w:t>
      </w:r>
    </w:p>
    <w:p w:rsidR="00EE7123" w:rsidRDefault="00EE7123">
      <w:pPr>
        <w:spacing w:before="240"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В стадии реализации находится еще 25 проектов, в том числе 11 в производственной сфере. 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Хочу отметить, что в последние несколько лет меняется структура инвестиционных вложений. Наблюдается увеличение вложений в непроизводственную сферу экономики. И я говорю не только о строительстве школ, детских садов, регионального центра по фигурному катанию. Ведется строительство гостиниц и мест размещения туристов. </w:t>
      </w:r>
    </w:p>
    <w:p w:rsidR="00EE7123" w:rsidRDefault="00EE7123">
      <w:pPr>
        <w:spacing w:before="120" w:line="360" w:lineRule="auto"/>
        <w:ind w:firstLine="709"/>
        <w:jc w:val="both"/>
      </w:pPr>
      <w:r>
        <w:rPr>
          <w:sz w:val="28"/>
          <w:szCs w:val="28"/>
        </w:rPr>
        <w:t>Сфера туризма обладает серьезным потенциалом к росту, и именно поэтому сегодня большое внимание уделяется повышению вклада этой отрасли в развитие экономики города.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Общее количество туристов, проживавших на гостиничной базе Великого Новгорода составило в 2019 году 257 тыс. человек, что на 4 % больше, чем в 2018 году, в том числе количество российских туристов увеличилось на 12 %. Количество посетителей музейных объектов, экспозиций и мероприятий Новгородского объединенного музея-заповедника в 2019 году составило 809 тысяч человек. </w:t>
      </w:r>
    </w:p>
    <w:p w:rsidR="00EE7123" w:rsidRDefault="00EE7123">
      <w:pPr>
        <w:tabs>
          <w:tab w:val="left" w:pos="7434"/>
        </w:tabs>
        <w:spacing w:before="240" w:line="360" w:lineRule="auto"/>
        <w:ind w:firstLine="709"/>
        <w:jc w:val="both"/>
      </w:pPr>
      <w:r>
        <w:rPr>
          <w:sz w:val="28"/>
          <w:szCs w:val="28"/>
        </w:rPr>
        <w:t xml:space="preserve">Новгородские предприниматели вкладывают свои средства не только в строительство и реконструкцию гостиниц в Великом Новгороде, но и в другие проекты в сфере туризма. Так в августе 2019 года на площадке у гостиницы "Россия" состоялась премьера фолк-рок мюзикла "Садко", уникального шоу по мотивам древненовгородской былины. Город предоставил для проекта участок земли. </w:t>
      </w:r>
    </w:p>
    <w:p w:rsidR="00EE7123" w:rsidRDefault="00EE7123">
      <w:pPr>
        <w:spacing w:line="360" w:lineRule="auto"/>
        <w:ind w:firstLine="708"/>
        <w:jc w:val="both"/>
      </w:pPr>
      <w:r>
        <w:rPr>
          <w:sz w:val="28"/>
          <w:szCs w:val="28"/>
        </w:rPr>
        <w:t xml:space="preserve">Мы активно продолжаем работать по Ганзейскому направлению. Здесь одним из самых значимых мероприятий 2019 года считаю подписание соглашения о взаимодействии с «Россотрудничеством» в рамках ХХХIX международных Ганзейских дней Нового времени во Пскове. </w:t>
      </w:r>
      <w:r>
        <w:rPr>
          <w:color w:val="000000"/>
          <w:sz w:val="28"/>
          <w:szCs w:val="28"/>
        </w:rPr>
        <w:t>Реализация соглашения дает новые возможности грантовой поддержки инициатив муниципального уровня.</w:t>
      </w:r>
    </w:p>
    <w:p w:rsidR="00EE7123" w:rsidRPr="000F5A47" w:rsidRDefault="00EE7123">
      <w:pPr>
        <w:spacing w:line="360" w:lineRule="auto"/>
        <w:ind w:firstLine="708"/>
        <w:jc w:val="both"/>
      </w:pPr>
      <w:r w:rsidRPr="000F5A47">
        <w:rPr>
          <w:color w:val="000000"/>
          <w:sz w:val="28"/>
          <w:szCs w:val="28"/>
          <w:highlight w:val="white"/>
        </w:rPr>
        <w:t xml:space="preserve">Именно поэтому в ходе Заседания Совета по развитию местного самоуправления я обратился к Президенту страны с предложением о подготовке на государственном уровне порядка и условий осуществления муниципальными образованиями международных и внешнеэкономических связей. Появление соответствующих нормативных актов позволит плодотворно развивать экономические связи с партнерами за рубежом и обогатить культурную составляющую жизни города. 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  <w:highlight w:val="white"/>
        </w:rPr>
        <w:t xml:space="preserve">В 2019 году Город снова стал площадкой для проведения крупных международных культурных мероприятий, таких как </w:t>
      </w:r>
      <w:r>
        <w:rPr>
          <w:rFonts w:cs="Arial"/>
          <w:color w:val="000000"/>
          <w:kern w:val="2"/>
          <w:sz w:val="28"/>
          <w:szCs w:val="28"/>
          <w:lang w:eastAsia="zh-CN" w:bidi="hi-IN"/>
        </w:rPr>
        <w:t xml:space="preserve">XV Международный театральный фестиваль «Царь-Сказка», </w:t>
      </w:r>
      <w:r>
        <w:rPr>
          <w:rFonts w:cs="Arial"/>
          <w:color w:val="000000"/>
          <w:kern w:val="2"/>
          <w:sz w:val="28"/>
          <w:szCs w:val="28"/>
          <w:lang w:val="en-US" w:eastAsia="zh-CN" w:bidi="hi-IN"/>
        </w:rPr>
        <w:t>III</w:t>
      </w:r>
      <w:r>
        <w:rPr>
          <w:rFonts w:cs="Arial"/>
          <w:color w:val="000000"/>
          <w:kern w:val="2"/>
          <w:sz w:val="28"/>
          <w:szCs w:val="28"/>
          <w:lang w:eastAsia="zh-CN" w:bidi="hi-IN"/>
        </w:rPr>
        <w:t xml:space="preserve"> Международный фестиваль музыкальных древностей «Словиша» </w:t>
      </w:r>
      <w:r w:rsidRPr="000F5A47">
        <w:rPr>
          <w:rFonts w:cs="Arial"/>
          <w:color w:val="000000"/>
          <w:kern w:val="2"/>
          <w:sz w:val="28"/>
          <w:szCs w:val="28"/>
          <w:lang w:eastAsia="zh-CN" w:bidi="hi-IN"/>
        </w:rPr>
        <w:t>памяти Владимира Ивановича Поветкина,</w:t>
      </w:r>
      <w:r>
        <w:rPr>
          <w:rFonts w:cs="Arial"/>
          <w:color w:val="000000"/>
          <w:kern w:val="2"/>
          <w:sz w:val="28"/>
          <w:szCs w:val="28"/>
          <w:lang w:eastAsia="zh-CN" w:bidi="hi-IN"/>
        </w:rPr>
        <w:t xml:space="preserve"> международный фестиваль-конкурс национальных культур и фольклора « Все народы в гости к нам».</w:t>
      </w:r>
    </w:p>
    <w:p w:rsidR="00EE7123" w:rsidRDefault="00EE7123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  <w:highlight w:val="white"/>
        </w:rPr>
        <w:t>Мы достойно провели празднование 75-летия освобождения Новгорода от немецко-фашистских захватчиков и 1160-летия основания Великого Новгорода.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В 2020 году центральным событием станет празднование 75-летия Победы в Великой Отечественной</w:t>
      </w:r>
      <w:r>
        <w:rPr>
          <w:sz w:val="28"/>
          <w:szCs w:val="28"/>
        </w:rPr>
        <w:t xml:space="preserve"> войне 1941-1945 годов.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Состоятся ХI фестиваль классической музыки и XII международный конкурс юных пианистов им. С.В. Рахманинова, Х Русские Ганзейские дни.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Отражением работы, проделанной в 2019 году, стали итоги исполнения бюджета города. Подробный отчет о его исполнении будет представлен в Думу Великого Новгорода отдельно в соответствии с действующим законодательством.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Коротко остановлюсь на основных параметрах исполнения бюджета. Они следующие: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В части собственных полномочий поступление налоговых и неналоговых доходов составило 2 млрд. 393 млн. рублей, что на 83 млн. рублей выше плана и на 12,7% выше предыдущего года.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Рост собственных доходов городского бюджета был достигнут, в том числе в результате повышения эффективности администрирования доходов, проведения мероприятий по легализации теневой заработной платы и неформальной занятости, что позволило своевременно выполнить ряд социальных и экономических обязательств.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Бюджетная обеспеченность на 1 жителя города за счет собственных доходов, поступивших в бюджет Великого Новгорода в 2019 году по сравнению с 2018 годом возросла и составила 10,7  тыс. рублей (2018 год – 9,5 тыс. рублей).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Расходы бюджета Великого Новгорода в 2019 году за счет собственных доходных источников исполнены в сумме 2 млрд. 534 млн. рублей или 98,1% к плану, за счет межбюджетных трансфертов, поступивших из федерального и областного бюджетов, в сумме 3 млрд.824 млн. рублей или 97,7%.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Большая часть средств была направлена на финансирование социально-культурной сферы.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Долговая нагрузка по отношению к налоговым и неналоговым доходам уменьшилась по сравнению с предыдущим годом и составила 91,1 % (2018 год – 93,3%).</w:t>
      </w:r>
    </w:p>
    <w:p w:rsidR="00EE7123" w:rsidRDefault="00EE7123">
      <w:pPr>
        <w:spacing w:before="24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осуществлении закупок малого объема, которые в 2019 году переведены в конкурентную форму, достигнута экономия на сумму более 1,5 млн. рублей. </w:t>
      </w:r>
      <w:r w:rsidRPr="000F5A47">
        <w:rPr>
          <w:sz w:val="28"/>
          <w:szCs w:val="28"/>
        </w:rPr>
        <w:t>(8,4 % от начальных максимальных цен контрактов).</w:t>
      </w:r>
      <w:r>
        <w:rPr>
          <w:sz w:val="28"/>
          <w:szCs w:val="28"/>
        </w:rPr>
        <w:t xml:space="preserve"> Вся экономия была направлена на выполнение социальных обязательств Администрации города.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заключение своего доклада хочу сказать, что системная работа в истекшем году велась по всем направлениям, где накопились проблемные вопроcы: муниципальный долг, демография, состояние городской среды и городского хозяйства, развитие  транспортно-логистической и туристической инфраструктуры. Мы активно интегрируемся в реализацию национальных и федеральных проектов. Вместе с Правительством Новгородской области решаем вопросы по улучшению системы водоснабжения, реконструкции очистных сооружений, ликвидации аварийного жилья. Целенаправленно обеспечиваем контроль за эффективным использованием финансовых ресурсов. Осуществляем ремонт улично-дорожной сети, мостов и путепроводов,   создаем новые парковочные пространства.  В рамках полномочий города ведем капитальный ремонт многоквартирных домов. Формируем дружелюбную городскую среду путем благоустройства общественных пространств, парков, скверов.    Проводим работу, направленную на развитие велоинфраструктуры и создание пешеходных пространств, строительство новых набережных, новых детских садов и школ. Реализуем новую концепцию освещения улиц города. Всесторонне поддерживаем усилия бизнеса, нацеленные на развитие экономики и развитие кластера «Традиционного гостеприимства», создание особой экономической зоны. Делаем все, чтобы наш город становился с каждым днем лучше и краше.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Подтверждением тому служат объекты введенные в строй, и объекты, работы по которым, начаты в 2019 году: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Станция третьего подъема;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Памятник генералу Филимоненко, памятные знаки «Мальчик Онфим» и «Карта Земли Новгородской»;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Площадка театра под открытым небом (Фолк-мюзикл «Садко»);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Колмовский мост;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-Софийская набережная;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объекты ремонта — социальные учреждения «Гимназия «Новоскул» и д/с «Капелька»;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- 6 котельных;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- 5 общественных территорий (скверы и парки);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парковка у детской поликлиники на ул. Кочетова и тротуарные объекты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- 5 светофорных объектов;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-12 участков дорог по проекту «Дорога к дому»;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-53 дворовые территории;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-66 участков дорог (38 км)</w:t>
      </w:r>
    </w:p>
    <w:p w:rsidR="00EE7123" w:rsidRDefault="00EE7123">
      <w:pPr>
        <w:spacing w:line="360" w:lineRule="auto"/>
        <w:ind w:firstLine="709"/>
        <w:jc w:val="both"/>
      </w:pPr>
      <w:r>
        <w:rPr>
          <w:b/>
          <w:sz w:val="28"/>
          <w:szCs w:val="28"/>
        </w:rPr>
        <w:t>Появятся в 2020 году:</w:t>
      </w:r>
    </w:p>
    <w:p w:rsidR="00EE7123" w:rsidRDefault="00EE7123">
      <w:pPr>
        <w:spacing w:line="360" w:lineRule="auto"/>
        <w:ind w:firstLine="709"/>
        <w:jc w:val="both"/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ФОК в Северном жилом районе;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Левобережные очистные сооружения;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НТШ;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Лужский путепровод;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Набережная Александра Невского;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- 2 школы;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- 2 детских сада;</w:t>
      </w:r>
    </w:p>
    <w:p w:rsidR="00EE7123" w:rsidRPr="000F5A47" w:rsidRDefault="00EE7123">
      <w:pPr>
        <w:spacing w:line="360" w:lineRule="auto"/>
        <w:ind w:firstLine="709"/>
        <w:jc w:val="both"/>
        <w:rPr>
          <w:sz w:val="28"/>
          <w:szCs w:val="28"/>
        </w:rPr>
      </w:pPr>
      <w:r w:rsidRPr="000F5A47">
        <w:rPr>
          <w:sz w:val="28"/>
          <w:szCs w:val="28"/>
        </w:rPr>
        <w:t>- 5 улиц (</w:t>
      </w:r>
      <w:r w:rsidRPr="000F5A47">
        <w:rPr>
          <w:iCs/>
          <w:sz w:val="28"/>
          <w:szCs w:val="28"/>
        </w:rPr>
        <w:t>строительство и реконструкция: 1.Строительство Большой Московской ул., на участке от ул. Державина до ул. 20 Января.</w:t>
      </w:r>
    </w:p>
    <w:p w:rsidR="00EE7123" w:rsidRPr="000F5A47" w:rsidRDefault="00EE712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0F5A47">
        <w:rPr>
          <w:iCs/>
          <w:sz w:val="28"/>
          <w:szCs w:val="28"/>
        </w:rPr>
        <w:t>2. Реконструкция ул. 20 Января, на участке от ул. Советской Армии до Большой Московской улицы, в Деревяницком жилом районе (</w:t>
      </w:r>
      <w:r w:rsidRPr="000F5A47">
        <w:rPr>
          <w:iCs/>
          <w:sz w:val="28"/>
          <w:szCs w:val="28"/>
          <w:lang w:val="en-US"/>
        </w:rPr>
        <w:t>I</w:t>
      </w:r>
      <w:r w:rsidRPr="000F5A47">
        <w:rPr>
          <w:iCs/>
          <w:sz w:val="28"/>
          <w:szCs w:val="28"/>
        </w:rPr>
        <w:t xml:space="preserve"> и </w:t>
      </w:r>
      <w:r w:rsidRPr="000F5A47">
        <w:rPr>
          <w:iCs/>
          <w:sz w:val="28"/>
          <w:szCs w:val="28"/>
          <w:lang w:val="en-US"/>
        </w:rPr>
        <w:t>II</w:t>
      </w:r>
      <w:r w:rsidRPr="000F5A47">
        <w:rPr>
          <w:iCs/>
          <w:sz w:val="28"/>
          <w:szCs w:val="28"/>
        </w:rPr>
        <w:t xml:space="preserve"> этапы)</w:t>
      </w:r>
    </w:p>
    <w:p w:rsidR="00EE7123" w:rsidRPr="000F5A47" w:rsidRDefault="00EE712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rPr>
          <w:iCs/>
          <w:sz w:val="28"/>
          <w:szCs w:val="28"/>
        </w:rPr>
      </w:pPr>
      <w:r w:rsidRPr="000F5A47">
        <w:rPr>
          <w:iCs/>
          <w:sz w:val="28"/>
          <w:szCs w:val="28"/>
        </w:rPr>
        <w:t xml:space="preserve">3. </w:t>
      </w:r>
      <w:r w:rsidRPr="000F5A47">
        <w:rPr>
          <w:iCs/>
          <w:sz w:val="28"/>
          <w:szCs w:val="28"/>
          <w:lang w:val="en-US"/>
        </w:rPr>
        <w:t>II</w:t>
      </w:r>
      <w:r w:rsidRPr="000F5A47">
        <w:rPr>
          <w:iCs/>
          <w:sz w:val="28"/>
          <w:szCs w:val="28"/>
        </w:rPr>
        <w:t xml:space="preserve"> этап. Строительство Большой Московской улицы (от ул. Державина до ул. 20 Января)</w:t>
      </w:r>
    </w:p>
    <w:p w:rsidR="00EE7123" w:rsidRPr="000F5A47" w:rsidRDefault="00EE712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rPr>
          <w:iCs/>
          <w:sz w:val="28"/>
          <w:szCs w:val="28"/>
        </w:rPr>
      </w:pPr>
    </w:p>
    <w:p w:rsidR="00EE7123" w:rsidRPr="000F5A47" w:rsidRDefault="00EE712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rPr>
          <w:iCs/>
          <w:sz w:val="28"/>
          <w:szCs w:val="28"/>
        </w:rPr>
      </w:pPr>
      <w:r w:rsidRPr="000F5A47">
        <w:rPr>
          <w:iCs/>
          <w:sz w:val="28"/>
          <w:szCs w:val="28"/>
        </w:rPr>
        <w:t>4. Строительство автомобильной дороги Морозовского проезда, на участке от ул. Ломоносова до ул. Морозовская, в Великом Новгороде</w:t>
      </w:r>
    </w:p>
    <w:p w:rsidR="00EE7123" w:rsidRPr="000F5A47" w:rsidRDefault="00EE712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rPr>
          <w:iCs/>
          <w:sz w:val="28"/>
          <w:szCs w:val="28"/>
        </w:rPr>
      </w:pPr>
    </w:p>
    <w:p w:rsidR="00EE7123" w:rsidRPr="000F5A47" w:rsidRDefault="00EE712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0F5A47">
        <w:rPr>
          <w:iCs/>
          <w:sz w:val="28"/>
          <w:szCs w:val="28"/>
        </w:rPr>
        <w:t xml:space="preserve">5. Реконструкция автомобильной дороги Псковской ул., на участке от Речной ул. до мостового перехода  р. Веряжа (с устройством бордюров, тротуаров, велодорожек с обеих сторон, ливневой канализации и наружного освещения) 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- 4 котельных;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8C2B04">
        <w:rPr>
          <w:sz w:val="28"/>
          <w:szCs w:val="28"/>
        </w:rPr>
        <w:t xml:space="preserve">5 </w:t>
      </w:r>
      <w:r>
        <w:rPr>
          <w:sz w:val="28"/>
          <w:szCs w:val="28"/>
        </w:rPr>
        <w:t>общественных территорий;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8C2B04">
        <w:rPr>
          <w:sz w:val="28"/>
          <w:szCs w:val="28"/>
        </w:rPr>
        <w:t xml:space="preserve">15 </w:t>
      </w:r>
      <w:r>
        <w:rPr>
          <w:sz w:val="28"/>
          <w:szCs w:val="28"/>
        </w:rPr>
        <w:t>участков дорог по проекту «Дорога к дому»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>- 53 дворовые территории;</w:t>
      </w:r>
    </w:p>
    <w:p w:rsidR="00EE7123" w:rsidRDefault="00EE7123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- </w:t>
      </w:r>
      <w:r w:rsidRPr="008C2B04">
        <w:rPr>
          <w:sz w:val="28"/>
          <w:szCs w:val="28"/>
        </w:rPr>
        <w:t xml:space="preserve">43 </w:t>
      </w:r>
      <w:r>
        <w:rPr>
          <w:sz w:val="28"/>
          <w:szCs w:val="28"/>
        </w:rPr>
        <w:t>участка дорог;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2019 году был заложен крепкий фундамент для будущих позитивных изменений в жизни города. Думаю, что нам удастся добиться в своей работе новых существенных результатов, которые положительно оценят новгородцы!</w:t>
      </w:r>
    </w:p>
    <w:p w:rsidR="00EE7123" w:rsidRDefault="00EE7123">
      <w:pPr>
        <w:spacing w:line="360" w:lineRule="auto"/>
        <w:ind w:firstLine="709"/>
        <w:jc w:val="both"/>
        <w:rPr>
          <w:sz w:val="28"/>
          <w:szCs w:val="28"/>
        </w:rPr>
      </w:pPr>
    </w:p>
    <w:sectPr w:rsidR="00EE7123" w:rsidSect="00FC5446">
      <w:footerReference w:type="default" r:id="rId6"/>
      <w:pgSz w:w="12240" w:h="15840"/>
      <w:pgMar w:top="709" w:right="1041" w:bottom="851" w:left="1418" w:header="0" w:footer="720" w:gutter="0"/>
      <w:cols w:space="720"/>
      <w:formProt w:val="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123" w:rsidRDefault="00EE7123" w:rsidP="00FC5446">
      <w:r>
        <w:separator/>
      </w:r>
    </w:p>
  </w:endnote>
  <w:endnote w:type="continuationSeparator" w:id="1">
    <w:p w:rsidR="00EE7123" w:rsidRDefault="00EE7123" w:rsidP="00FC54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lbertus (W1)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123" w:rsidRDefault="00EE7123">
    <w:pPr>
      <w:pStyle w:val="Footer"/>
      <w:jc w:val="right"/>
    </w:pPr>
    <w:fldSimple w:instr="PAGE">
      <w:r>
        <w:rPr>
          <w:noProof/>
        </w:rPr>
        <w:t>1</w:t>
      </w:r>
    </w:fldSimple>
  </w:p>
  <w:p w:rsidR="00EE7123" w:rsidRDefault="00EE71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123" w:rsidRDefault="00EE7123" w:rsidP="00FC5446">
      <w:r>
        <w:separator/>
      </w:r>
    </w:p>
  </w:footnote>
  <w:footnote w:type="continuationSeparator" w:id="1">
    <w:p w:rsidR="00EE7123" w:rsidRDefault="00EE7123" w:rsidP="00FC54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5446"/>
    <w:rsid w:val="000F5A47"/>
    <w:rsid w:val="00677638"/>
    <w:rsid w:val="008C2B04"/>
    <w:rsid w:val="00EE7123"/>
    <w:rsid w:val="00F815DA"/>
    <w:rsid w:val="00FC5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446"/>
    <w:rPr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FC5446"/>
    <w:pPr>
      <w:spacing w:before="280" w:after="280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D07DF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a">
    <w:name w:val="Верхний колонтитул Знак"/>
    <w:basedOn w:val="DefaultParagraphFont"/>
    <w:uiPriority w:val="99"/>
    <w:rsid w:val="00FC5446"/>
    <w:rPr>
      <w:rFonts w:cs="Times New Roman"/>
      <w:sz w:val="24"/>
      <w:szCs w:val="24"/>
    </w:rPr>
  </w:style>
  <w:style w:type="character" w:customStyle="1" w:styleId="a0">
    <w:name w:val="Нижний колонтитул Знак"/>
    <w:basedOn w:val="DefaultParagraphFont"/>
    <w:uiPriority w:val="99"/>
    <w:rsid w:val="00FC5446"/>
    <w:rPr>
      <w:rFonts w:cs="Times New Roman"/>
      <w:sz w:val="24"/>
      <w:szCs w:val="24"/>
    </w:rPr>
  </w:style>
  <w:style w:type="character" w:customStyle="1" w:styleId="a1">
    <w:name w:val="Текст концевой сноски Знак"/>
    <w:basedOn w:val="DefaultParagraphFont"/>
    <w:uiPriority w:val="99"/>
    <w:rsid w:val="00FC5446"/>
    <w:rPr>
      <w:rFonts w:cs="Times New Roman"/>
    </w:rPr>
  </w:style>
  <w:style w:type="character" w:customStyle="1" w:styleId="a2">
    <w:name w:val="Привязка концевой сноски"/>
    <w:uiPriority w:val="99"/>
    <w:rsid w:val="00FC5446"/>
    <w:rPr>
      <w:vertAlign w:val="superscript"/>
    </w:rPr>
  </w:style>
  <w:style w:type="character" w:customStyle="1" w:styleId="EndnoteCharacters">
    <w:name w:val="Endnote Characters"/>
    <w:basedOn w:val="DefaultParagraphFont"/>
    <w:uiPriority w:val="99"/>
    <w:rsid w:val="00FC5446"/>
    <w:rPr>
      <w:rFonts w:cs="Times New Roman"/>
      <w:vertAlign w:val="superscript"/>
    </w:rPr>
  </w:style>
  <w:style w:type="character" w:customStyle="1" w:styleId="a3">
    <w:name w:val="Текст выноски Знак"/>
    <w:basedOn w:val="DefaultParagraphFont"/>
    <w:uiPriority w:val="99"/>
    <w:rsid w:val="00FC5446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uiPriority w:val="99"/>
    <w:rsid w:val="00FC5446"/>
    <w:rPr>
      <w:color w:val="000080"/>
      <w:u w:val="single"/>
    </w:rPr>
  </w:style>
  <w:style w:type="character" w:customStyle="1" w:styleId="2">
    <w:name w:val="Заголовок 2 Знак"/>
    <w:basedOn w:val="DefaultParagraphFont"/>
    <w:uiPriority w:val="99"/>
    <w:rsid w:val="00FC5446"/>
    <w:rPr>
      <w:rFonts w:cs="Times New Roman"/>
      <w:b/>
      <w:bCs/>
      <w:sz w:val="36"/>
      <w:szCs w:val="36"/>
    </w:rPr>
  </w:style>
  <w:style w:type="paragraph" w:customStyle="1" w:styleId="a4">
    <w:name w:val="Заголовок"/>
    <w:basedOn w:val="Normal"/>
    <w:next w:val="BodyText"/>
    <w:uiPriority w:val="99"/>
    <w:rsid w:val="00FC5446"/>
    <w:pPr>
      <w:keepNext/>
      <w:spacing w:before="240" w:after="120"/>
    </w:pPr>
    <w:rPr>
      <w:rFonts w:ascii="Liberation Sans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C5446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07DFC"/>
    <w:rPr>
      <w:sz w:val="24"/>
      <w:szCs w:val="24"/>
    </w:rPr>
  </w:style>
  <w:style w:type="paragraph" w:styleId="List">
    <w:name w:val="List"/>
    <w:basedOn w:val="BodyText"/>
    <w:uiPriority w:val="99"/>
    <w:rsid w:val="00FC5446"/>
    <w:rPr>
      <w:rFonts w:cs="Arial"/>
    </w:rPr>
  </w:style>
  <w:style w:type="paragraph" w:styleId="Caption">
    <w:name w:val="caption"/>
    <w:basedOn w:val="Normal"/>
    <w:uiPriority w:val="99"/>
    <w:qFormat/>
    <w:rsid w:val="00FC5446"/>
    <w:pPr>
      <w:suppressLineNumbers/>
      <w:spacing w:before="120" w:after="120"/>
    </w:pPr>
    <w:rPr>
      <w:rFonts w:cs="Arial"/>
      <w:i/>
      <w:iCs/>
    </w:rPr>
  </w:style>
  <w:style w:type="paragraph" w:styleId="Index1">
    <w:name w:val="index 1"/>
    <w:basedOn w:val="Normal"/>
    <w:next w:val="Normal"/>
    <w:autoRedefine/>
    <w:uiPriority w:val="99"/>
    <w:semiHidden/>
    <w:pPr>
      <w:ind w:left="240" w:hanging="240"/>
    </w:pPr>
  </w:style>
  <w:style w:type="paragraph" w:styleId="IndexHeading">
    <w:name w:val="index heading"/>
    <w:basedOn w:val="Normal"/>
    <w:uiPriority w:val="99"/>
    <w:rsid w:val="00FC5446"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itleChar"/>
    <w:uiPriority w:val="99"/>
    <w:qFormat/>
    <w:rsid w:val="00FC5446"/>
    <w:pPr>
      <w:keepNext/>
      <w:spacing w:before="240" w:after="120"/>
    </w:pPr>
    <w:rPr>
      <w:rFonts w:ascii="Liberation Sans" w:hAnsi="Liberation Sans" w:cs="Arial"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D07DFC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1">
    <w:name w:val="Заголовок1"/>
    <w:basedOn w:val="Normal"/>
    <w:next w:val="BodyText"/>
    <w:uiPriority w:val="99"/>
    <w:rsid w:val="00FC5446"/>
    <w:pPr>
      <w:keepNext/>
      <w:spacing w:before="240" w:after="120"/>
    </w:pPr>
    <w:rPr>
      <w:rFonts w:ascii="Liberation Sans" w:hAnsi="Liberation Sans" w:cs="Arial"/>
      <w:sz w:val="28"/>
      <w:szCs w:val="28"/>
    </w:rPr>
  </w:style>
  <w:style w:type="paragraph" w:styleId="ListParagraph">
    <w:name w:val="List Paragraph"/>
    <w:basedOn w:val="Normal"/>
    <w:uiPriority w:val="99"/>
    <w:qFormat/>
    <w:rsid w:val="00FC5446"/>
    <w:pPr>
      <w:spacing w:after="200" w:line="276" w:lineRule="auto"/>
      <w:ind w:left="708"/>
    </w:pPr>
    <w:rPr>
      <w:rFonts w:ascii="Calibri" w:hAnsi="Calibri"/>
      <w:sz w:val="22"/>
      <w:szCs w:val="22"/>
      <w:lang w:eastAsia="en-US"/>
    </w:rPr>
  </w:style>
  <w:style w:type="paragraph" w:customStyle="1" w:styleId="a5">
    <w:name w:val="Верхний и нижний колонтитулы"/>
    <w:basedOn w:val="Normal"/>
    <w:uiPriority w:val="99"/>
    <w:rsid w:val="00FC5446"/>
  </w:style>
  <w:style w:type="paragraph" w:styleId="Header">
    <w:name w:val="header"/>
    <w:basedOn w:val="Normal"/>
    <w:link w:val="HeaderChar"/>
    <w:uiPriority w:val="99"/>
    <w:rsid w:val="00FC5446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7DF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C544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7DFC"/>
    <w:rPr>
      <w:sz w:val="24"/>
      <w:szCs w:val="24"/>
    </w:rPr>
  </w:style>
  <w:style w:type="paragraph" w:styleId="EndnoteText">
    <w:name w:val="endnote text"/>
    <w:basedOn w:val="Normal"/>
    <w:link w:val="EndnoteTextChar"/>
    <w:uiPriority w:val="99"/>
    <w:rsid w:val="00FC544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07DFC"/>
    <w:rPr>
      <w:sz w:val="20"/>
      <w:szCs w:val="20"/>
    </w:rPr>
  </w:style>
  <w:style w:type="paragraph" w:styleId="NormalWeb">
    <w:name w:val="Normal (Web)"/>
    <w:basedOn w:val="Normal"/>
    <w:uiPriority w:val="99"/>
    <w:rsid w:val="00FC5446"/>
    <w:pPr>
      <w:spacing w:before="280" w:after="280"/>
    </w:pPr>
  </w:style>
  <w:style w:type="paragraph" w:styleId="BalloonText">
    <w:name w:val="Balloon Text"/>
    <w:basedOn w:val="Normal"/>
    <w:link w:val="BalloonTextChar"/>
    <w:uiPriority w:val="99"/>
    <w:rsid w:val="00FC54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7DFC"/>
    <w:rPr>
      <w:sz w:val="0"/>
      <w:szCs w:val="0"/>
    </w:rPr>
  </w:style>
  <w:style w:type="paragraph" w:styleId="NoSpacing">
    <w:name w:val="No Spacing"/>
    <w:uiPriority w:val="99"/>
    <w:qFormat/>
    <w:rPr>
      <w:rFonts w:ascii="Calibri" w:hAnsi="Calibri" w:cs="Calibri"/>
    </w:rPr>
  </w:style>
  <w:style w:type="paragraph" w:customStyle="1" w:styleId="Standard">
    <w:name w:val="Standard"/>
    <w:uiPriority w:val="99"/>
    <w:rsid w:val="00FC5446"/>
    <w:pPr>
      <w:suppressAutoHyphens/>
      <w:textAlignment w:val="baseline"/>
    </w:pPr>
    <w:rPr>
      <w:rFonts w:ascii="Albertus (W1)" w:hAnsi="Albertus (W1)" w:cs="Albertus (W1)"/>
      <w:kern w:val="2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434</TotalTime>
  <Pages>16</Pages>
  <Words>3845</Words>
  <Characters>21917</Characters>
  <Application>Microsoft Office Outlook</Application>
  <DocSecurity>0</DocSecurity>
  <Lines>0</Lines>
  <Paragraphs>0</Paragraphs>
  <ScaleCrop>false</ScaleCrop>
  <Company>MoBIL 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Губернатор Георгий Полтавченко выступил сегодня с ежегодным отчетом о деятельности городского правительства перед Законодательным Собранием Санкт-Петербурга</dc:title>
  <dc:subject/>
  <dc:creator>Latysheva</dc:creator>
  <cp:keywords/>
  <dc:description/>
  <cp:lastModifiedBy>USER</cp:lastModifiedBy>
  <cp:revision>24</cp:revision>
  <cp:lastPrinted>2020-02-26T18:29:00Z</cp:lastPrinted>
  <dcterms:created xsi:type="dcterms:W3CDTF">2020-02-25T18:15:00Z</dcterms:created>
  <dcterms:modified xsi:type="dcterms:W3CDTF">2020-02-27T09:15:00Z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MoBIL GROUP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